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Look w:val="04A0" w:firstRow="1" w:lastRow="0" w:firstColumn="1" w:lastColumn="0" w:noHBand="0" w:noVBand="1"/>
      </w:tblPr>
      <w:tblGrid>
        <w:gridCol w:w="9616"/>
      </w:tblGrid>
      <w:tr w:rsidR="00D17F8A" w:rsidRPr="00D17F8A" w14:paraId="1208B273" w14:textId="77777777" w:rsidTr="00D52277">
        <w:trPr>
          <w:trHeight w:val="985"/>
        </w:trPr>
        <w:tc>
          <w:tcPr>
            <w:tcW w:w="9616" w:type="dxa"/>
            <w:shd w:val="clear" w:color="auto" w:fill="D9D9D9" w:themeFill="background1" w:themeFillShade="D9"/>
            <w:vAlign w:val="center"/>
          </w:tcPr>
          <w:p w14:paraId="3681324B" w14:textId="03900629" w:rsidR="0066441F" w:rsidRDefault="0066441F" w:rsidP="0066441F">
            <w:pPr>
              <w:spacing w:line="259" w:lineRule="auto"/>
              <w:rPr>
                <w:b/>
                <w:sz w:val="52"/>
                <w:szCs w:val="52"/>
              </w:rPr>
            </w:pPr>
            <w:r w:rsidRPr="00D52277">
              <w:rPr>
                <w:b/>
                <w:sz w:val="52"/>
                <w:szCs w:val="52"/>
              </w:rPr>
              <w:t>Forebyggelse af brand</w:t>
            </w:r>
          </w:p>
          <w:p w14:paraId="499C7386" w14:textId="35448465" w:rsidR="0066441F" w:rsidRPr="00D52277" w:rsidRDefault="0066441F" w:rsidP="00F32855">
            <w:pPr>
              <w:spacing w:line="259" w:lineRule="auto"/>
              <w:rPr>
                <w:b/>
                <w:sz w:val="28"/>
                <w:szCs w:val="28"/>
              </w:rPr>
            </w:pPr>
            <w:r>
              <w:rPr>
                <w:b/>
                <w:sz w:val="28"/>
                <w:szCs w:val="28"/>
              </w:rPr>
              <w:t>O</w:t>
            </w:r>
            <w:r w:rsidRPr="0066441F">
              <w:rPr>
                <w:b/>
                <w:sz w:val="28"/>
                <w:szCs w:val="28"/>
              </w:rPr>
              <w:t>rdensregler</w:t>
            </w:r>
            <w:r w:rsidR="004604CE">
              <w:rPr>
                <w:b/>
                <w:sz w:val="28"/>
                <w:szCs w:val="28"/>
              </w:rPr>
              <w:t xml:space="preserve"> </w:t>
            </w:r>
          </w:p>
        </w:tc>
      </w:tr>
    </w:tbl>
    <w:p w14:paraId="0A8A522C" w14:textId="713CE1EC" w:rsidR="00C90A63" w:rsidRPr="00D52277" w:rsidRDefault="00D52277" w:rsidP="00E74A21">
      <w:pPr>
        <w:keepNext/>
        <w:keepLines/>
        <w:tabs>
          <w:tab w:val="left" w:pos="7764"/>
        </w:tabs>
        <w:spacing w:after="0"/>
        <w:rPr>
          <w:i/>
          <w:sz w:val="18"/>
          <w:szCs w:val="18"/>
        </w:rPr>
      </w:pPr>
      <w:r w:rsidRPr="00D52277">
        <w:rPr>
          <w:i/>
          <w:color w:val="FF0000"/>
          <w:sz w:val="18"/>
          <w:szCs w:val="18"/>
        </w:rPr>
        <w:t>[Vejledningsteksten er skrevet med rød + firkantede parenteser og fjernes når instruksen er færdig</w:t>
      </w:r>
      <w:r>
        <w:rPr>
          <w:i/>
          <w:color w:val="FF0000"/>
          <w:sz w:val="18"/>
          <w:szCs w:val="18"/>
        </w:rPr>
        <w:t>.</w:t>
      </w:r>
      <w:r w:rsidR="00BB619F">
        <w:rPr>
          <w:i/>
          <w:color w:val="FF0000"/>
          <w:sz w:val="18"/>
          <w:szCs w:val="18"/>
        </w:rPr>
        <w:t xml:space="preserve"> Al</w:t>
      </w:r>
      <w:r w:rsidR="004B65DF">
        <w:rPr>
          <w:i/>
          <w:color w:val="FF0000"/>
          <w:sz w:val="18"/>
          <w:szCs w:val="18"/>
        </w:rPr>
        <w:t>t</w:t>
      </w:r>
      <w:r w:rsidR="00BB619F">
        <w:rPr>
          <w:i/>
          <w:color w:val="FF0000"/>
          <w:sz w:val="18"/>
          <w:szCs w:val="18"/>
        </w:rPr>
        <w:t xml:space="preserve"> rød tekst er eksempler på punkter til forebyggelse af brand og skal</w:t>
      </w:r>
      <w:r>
        <w:rPr>
          <w:i/>
          <w:color w:val="FF0000"/>
          <w:sz w:val="18"/>
          <w:szCs w:val="18"/>
        </w:rPr>
        <w:t xml:space="preserve"> tilpasses</w:t>
      </w:r>
      <w:r w:rsidR="00BB619F">
        <w:rPr>
          <w:i/>
          <w:color w:val="FF0000"/>
          <w:sz w:val="18"/>
          <w:szCs w:val="18"/>
        </w:rPr>
        <w:t>/suppleres ift.</w:t>
      </w:r>
      <w:r>
        <w:rPr>
          <w:i/>
          <w:color w:val="FF0000"/>
          <w:sz w:val="18"/>
          <w:szCs w:val="18"/>
        </w:rPr>
        <w:t xml:space="preserve"> de aktuelle forhold</w:t>
      </w:r>
      <w:r w:rsidRPr="00D52277">
        <w:rPr>
          <w:i/>
          <w:color w:val="FF0000"/>
          <w:sz w:val="18"/>
          <w:szCs w:val="18"/>
        </w:rPr>
        <w:t>]</w:t>
      </w:r>
    </w:p>
    <w:p w14:paraId="40023B07" w14:textId="77777777" w:rsidR="00C60C06" w:rsidRPr="00844074" w:rsidRDefault="00C60C06" w:rsidP="00E74A21">
      <w:pPr>
        <w:keepNext/>
        <w:keepLines/>
        <w:tabs>
          <w:tab w:val="left" w:pos="7764"/>
        </w:tabs>
        <w:spacing w:after="0"/>
        <w:rPr>
          <w:b/>
          <w:sz w:val="18"/>
          <w:szCs w:val="18"/>
        </w:rPr>
      </w:pPr>
    </w:p>
    <w:tbl>
      <w:tblPr>
        <w:tblStyle w:val="Tabel-Gitter1"/>
        <w:tblpPr w:leftFromText="141" w:rightFromText="141" w:vertAnchor="text" w:tblpY="1"/>
        <w:tblOverlap w:val="never"/>
        <w:tblW w:w="0" w:type="auto"/>
        <w:tblLook w:val="04A0" w:firstRow="1" w:lastRow="0" w:firstColumn="1" w:lastColumn="0" w:noHBand="0" w:noVBand="1"/>
      </w:tblPr>
      <w:tblGrid>
        <w:gridCol w:w="9606"/>
      </w:tblGrid>
      <w:tr w:rsidR="008951D7" w:rsidRPr="00844074" w14:paraId="37B62B51" w14:textId="77777777" w:rsidTr="00C60C06">
        <w:trPr>
          <w:trHeight w:val="502"/>
        </w:trPr>
        <w:tc>
          <w:tcPr>
            <w:tcW w:w="9606" w:type="dxa"/>
            <w:vAlign w:val="center"/>
          </w:tcPr>
          <w:p w14:paraId="3D8C0D94" w14:textId="77777777" w:rsidR="00844074" w:rsidRPr="00844074" w:rsidRDefault="00844074" w:rsidP="008D371D">
            <w:pPr>
              <w:pStyle w:val="Listeafsnit"/>
              <w:numPr>
                <w:ilvl w:val="0"/>
                <w:numId w:val="9"/>
              </w:numPr>
              <w:spacing w:line="276" w:lineRule="auto"/>
              <w:rPr>
                <w:rFonts w:ascii="Verdana" w:hAnsi="Verdana"/>
              </w:rPr>
            </w:pPr>
            <w:r w:rsidRPr="00844074">
              <w:rPr>
                <w:rFonts w:ascii="Verdana" w:hAnsi="Verdana"/>
              </w:rPr>
              <w:t>Porte, adgangsveje og redningsarealer, som er nødvendige for redningsberedskabets rednings- og slukningsarbejde, skal altid være passable. Kortvarig standsning på brandveje kan accepteres, såfremt chaufføren er i umiddelbar nærhed af køretøjet. Beplantning skal holdes nede, så det ikke reducerer brugen af brandvejene og adgangsvejene.</w:t>
            </w:r>
          </w:p>
          <w:p w14:paraId="4100A169" w14:textId="77777777" w:rsidR="00844074" w:rsidRPr="00844074" w:rsidRDefault="00844074" w:rsidP="008D371D">
            <w:pPr>
              <w:pStyle w:val="Listeafsnit"/>
              <w:numPr>
                <w:ilvl w:val="0"/>
                <w:numId w:val="9"/>
              </w:numPr>
              <w:spacing w:line="276" w:lineRule="auto"/>
              <w:rPr>
                <w:rFonts w:ascii="Verdana" w:hAnsi="Verdana"/>
              </w:rPr>
            </w:pPr>
            <w:r w:rsidRPr="00844074">
              <w:rPr>
                <w:rFonts w:ascii="Verdana" w:hAnsi="Verdana"/>
              </w:rPr>
              <w:t xml:space="preserve">Flugtveje, flugtvejspassager og friarealer skal være frie og ryddelige i hele deres bredde. </w:t>
            </w:r>
          </w:p>
          <w:p w14:paraId="41EF481A" w14:textId="77777777" w:rsidR="00844074" w:rsidRPr="00844074" w:rsidRDefault="00844074" w:rsidP="008D371D">
            <w:pPr>
              <w:pStyle w:val="Listeafsnit"/>
              <w:numPr>
                <w:ilvl w:val="0"/>
                <w:numId w:val="9"/>
              </w:numPr>
              <w:spacing w:line="276" w:lineRule="auto"/>
              <w:rPr>
                <w:rFonts w:ascii="Verdana" w:hAnsi="Verdana"/>
              </w:rPr>
            </w:pPr>
            <w:r w:rsidRPr="00844074">
              <w:rPr>
                <w:rFonts w:ascii="Verdana" w:hAnsi="Verdana"/>
              </w:rPr>
              <w:t xml:space="preserve">Der skal være fri adgang til </w:t>
            </w:r>
            <w:proofErr w:type="spellStart"/>
            <w:r w:rsidRPr="00844074">
              <w:rPr>
                <w:rFonts w:ascii="Verdana" w:hAnsi="Verdana"/>
              </w:rPr>
              <w:t>slangevinder</w:t>
            </w:r>
            <w:proofErr w:type="spellEnd"/>
            <w:r w:rsidRPr="00844074">
              <w:rPr>
                <w:rFonts w:ascii="Verdana" w:hAnsi="Verdana"/>
              </w:rPr>
              <w:t xml:space="preserve"> og håndslukningsudstyr.</w:t>
            </w:r>
          </w:p>
          <w:p w14:paraId="3AECE31F" w14:textId="77777777" w:rsidR="00844074" w:rsidRPr="00844074" w:rsidRDefault="00844074" w:rsidP="008D371D">
            <w:pPr>
              <w:pStyle w:val="Listeafsnit"/>
              <w:numPr>
                <w:ilvl w:val="0"/>
                <w:numId w:val="9"/>
              </w:numPr>
              <w:spacing w:line="276" w:lineRule="auto"/>
              <w:rPr>
                <w:rFonts w:ascii="Verdana" w:hAnsi="Verdana"/>
              </w:rPr>
            </w:pPr>
            <w:r w:rsidRPr="00844074">
              <w:rPr>
                <w:rFonts w:ascii="Verdana" w:hAnsi="Verdana"/>
              </w:rPr>
              <w:t>Redningsåbninger skal kunne åbnes indefra uden brug af nøgle eller særligt værktøj. Der skal være fri og uhindret adgang til redningsåbningerne for personer i rummene.</w:t>
            </w:r>
          </w:p>
          <w:p w14:paraId="12FC8E70" w14:textId="77777777" w:rsidR="00844074" w:rsidRPr="00844074" w:rsidRDefault="00844074" w:rsidP="008D371D">
            <w:pPr>
              <w:pStyle w:val="Listeafsnit"/>
              <w:numPr>
                <w:ilvl w:val="0"/>
                <w:numId w:val="9"/>
              </w:numPr>
              <w:spacing w:line="276" w:lineRule="auto"/>
              <w:rPr>
                <w:rFonts w:ascii="Verdana" w:hAnsi="Verdana"/>
              </w:rPr>
            </w:pPr>
            <w:r w:rsidRPr="00844074">
              <w:rPr>
                <w:rFonts w:ascii="Verdana" w:hAnsi="Verdana"/>
              </w:rPr>
              <w:t>Døres, portes og lemmes selvlukkefunktion skal være funktionsdygtig. Døre, porte og lemme skal lukke tætsluttende til fals. Der skal føres jævnlig kontrol med, at disse er funktionsdygtige. Selvlukkemekanismen må ikke sættes ud af funktion, og dørene må ikke fastholdes i åben stilling ved hjælp af kroge, hasper, kiler el.lign.</w:t>
            </w:r>
          </w:p>
          <w:p w14:paraId="18DD89E3" w14:textId="77777777" w:rsidR="00844074" w:rsidRPr="00844074" w:rsidRDefault="00844074" w:rsidP="008D371D">
            <w:pPr>
              <w:pStyle w:val="Listeafsnit"/>
              <w:numPr>
                <w:ilvl w:val="0"/>
                <w:numId w:val="9"/>
              </w:numPr>
              <w:spacing w:line="276" w:lineRule="auto"/>
              <w:rPr>
                <w:rFonts w:ascii="Verdana" w:hAnsi="Verdana"/>
              </w:rPr>
            </w:pPr>
            <w:proofErr w:type="spellStart"/>
            <w:r w:rsidRPr="00844074">
              <w:rPr>
                <w:rFonts w:ascii="Verdana" w:hAnsi="Verdana"/>
              </w:rPr>
              <w:t>Teknikrum</w:t>
            </w:r>
            <w:proofErr w:type="spellEnd"/>
            <w:r w:rsidRPr="00844074">
              <w:rPr>
                <w:rFonts w:ascii="Verdana" w:hAnsi="Verdana"/>
              </w:rPr>
              <w:t xml:space="preserve"> (ventilationsrum, el-tavlerum m.v.) må ikke anvendes til henstilling af inventar, varer og lignende.</w:t>
            </w:r>
          </w:p>
          <w:p w14:paraId="69E34F06" w14:textId="77777777" w:rsidR="008D371D" w:rsidRPr="008D371D" w:rsidRDefault="008D371D" w:rsidP="008D371D">
            <w:pPr>
              <w:pStyle w:val="Listeafsnit"/>
              <w:numPr>
                <w:ilvl w:val="0"/>
                <w:numId w:val="9"/>
              </w:numPr>
              <w:spacing w:line="276" w:lineRule="auto"/>
              <w:rPr>
                <w:rFonts w:ascii="Verdana" w:hAnsi="Verdana"/>
                <w:color w:val="FF0000"/>
              </w:rPr>
            </w:pPr>
            <w:r w:rsidRPr="008D371D">
              <w:rPr>
                <w:rFonts w:ascii="Verdana" w:hAnsi="Verdana"/>
                <w:color w:val="FF0000"/>
              </w:rPr>
              <w:t>Produktionsafsnittet skal holdes rent og ryddeligt.</w:t>
            </w:r>
          </w:p>
          <w:p w14:paraId="24B67796" w14:textId="77777777" w:rsidR="008D371D" w:rsidRPr="008D371D" w:rsidRDefault="008D371D" w:rsidP="008D371D">
            <w:pPr>
              <w:pStyle w:val="Listeafsnit"/>
              <w:numPr>
                <w:ilvl w:val="0"/>
                <w:numId w:val="9"/>
              </w:numPr>
              <w:spacing w:line="276" w:lineRule="auto"/>
              <w:rPr>
                <w:rFonts w:ascii="Verdana" w:eastAsiaTheme="minorHAnsi" w:hAnsi="Verdana"/>
                <w:color w:val="FF0000"/>
                <w:lang w:eastAsia="en-US"/>
              </w:rPr>
            </w:pPr>
            <w:r w:rsidRPr="008D371D">
              <w:rPr>
                <w:rFonts w:ascii="Verdana" w:eastAsiaTheme="minorHAnsi" w:hAnsi="Verdana"/>
                <w:color w:val="FF0000"/>
                <w:lang w:eastAsia="en-US"/>
              </w:rPr>
              <w:t>Der skal i produktionsafsnittet rengøres for støv i sådan et omfang, at risikoen, for at en støveksplosion sker, begrænses.</w:t>
            </w:r>
          </w:p>
          <w:p w14:paraId="07168C6A" w14:textId="77777777" w:rsidR="008D371D" w:rsidRPr="008D371D" w:rsidRDefault="008D371D" w:rsidP="008D371D">
            <w:pPr>
              <w:pStyle w:val="Listeafsnit"/>
              <w:numPr>
                <w:ilvl w:val="0"/>
                <w:numId w:val="9"/>
              </w:numPr>
              <w:spacing w:line="276" w:lineRule="auto"/>
              <w:rPr>
                <w:rFonts w:ascii="Verdana" w:eastAsiaTheme="minorHAnsi" w:hAnsi="Verdana"/>
                <w:color w:val="FF0000"/>
                <w:lang w:eastAsia="en-US"/>
              </w:rPr>
            </w:pPr>
            <w:r w:rsidRPr="008D371D">
              <w:rPr>
                <w:rFonts w:ascii="Verdana" w:eastAsiaTheme="minorHAnsi" w:hAnsi="Verdana"/>
                <w:color w:val="FF0000"/>
                <w:lang w:eastAsia="en-US"/>
              </w:rPr>
              <w:t>Parkering af motorkøretøjer, herunder trucks, uden for driftstiden samt opladning af motorkøretøjer må kun ske på steder, der er udlagt til dette formål.</w:t>
            </w:r>
          </w:p>
          <w:p w14:paraId="07156699" w14:textId="5CA1D659" w:rsidR="008D371D" w:rsidRPr="008D371D" w:rsidRDefault="008D371D" w:rsidP="008D371D">
            <w:pPr>
              <w:pStyle w:val="Listeafsnit"/>
              <w:numPr>
                <w:ilvl w:val="0"/>
                <w:numId w:val="9"/>
              </w:numPr>
              <w:spacing w:line="276" w:lineRule="auto"/>
              <w:rPr>
                <w:rFonts w:ascii="Verdana" w:eastAsiaTheme="minorHAnsi" w:hAnsi="Verdana"/>
                <w:color w:val="FF0000"/>
                <w:lang w:eastAsia="en-US"/>
              </w:rPr>
            </w:pPr>
            <w:r w:rsidRPr="008D371D">
              <w:rPr>
                <w:rFonts w:ascii="Verdana" w:eastAsiaTheme="minorHAnsi" w:hAnsi="Verdana"/>
                <w:color w:val="FF0000"/>
                <w:lang w:eastAsia="en-US"/>
              </w:rPr>
              <w:t xml:space="preserve">Branddøre og brandporte, mellem </w:t>
            </w:r>
            <w:proofErr w:type="spellStart"/>
            <w:r w:rsidRPr="008D371D">
              <w:rPr>
                <w:rFonts w:ascii="Verdana" w:eastAsiaTheme="minorHAnsi" w:hAnsi="Verdana"/>
                <w:color w:val="FF0000"/>
                <w:lang w:eastAsia="en-US"/>
              </w:rPr>
              <w:t>brandmæssige</w:t>
            </w:r>
            <w:proofErr w:type="spellEnd"/>
            <w:r w:rsidRPr="008D371D">
              <w:rPr>
                <w:rFonts w:ascii="Verdana" w:eastAsiaTheme="minorHAnsi" w:hAnsi="Verdana"/>
                <w:color w:val="FF0000"/>
                <w:lang w:eastAsia="en-US"/>
              </w:rPr>
              <w:t xml:space="preserve"> enheder med stor brandbelastning (større end 1.600 MJ/m²) og udført med ABDL-anlæg, skal lukkes ved arbejdstids ophør og markeres med skiltet med teksten ”BRANDDØR lukkes ved arbejdstids op</w:t>
            </w:r>
            <w:r>
              <w:rPr>
                <w:rFonts w:ascii="Verdana" w:eastAsiaTheme="minorHAnsi" w:hAnsi="Verdana"/>
                <w:color w:val="FF0000"/>
                <w:lang w:eastAsia="en-US"/>
              </w:rPr>
              <w:t>hør og ved brand”.</w:t>
            </w:r>
          </w:p>
          <w:p w14:paraId="105428E8" w14:textId="015EAF23" w:rsidR="008951D7" w:rsidRPr="00844074" w:rsidRDefault="008951D7" w:rsidP="008D371D">
            <w:pPr>
              <w:pStyle w:val="Listeafsnit"/>
              <w:spacing w:line="276" w:lineRule="auto"/>
              <w:rPr>
                <w:rFonts w:ascii="Verdana" w:eastAsiaTheme="minorHAnsi" w:hAnsi="Verdana"/>
                <w:sz w:val="18"/>
                <w:szCs w:val="18"/>
                <w:lang w:eastAsia="en-US"/>
              </w:rPr>
            </w:pPr>
          </w:p>
        </w:tc>
      </w:tr>
    </w:tbl>
    <w:p w14:paraId="5C6E7246" w14:textId="7EBFE9F6" w:rsidR="00D17F8A" w:rsidRPr="00B432C8" w:rsidRDefault="00D17F8A" w:rsidP="00151E8D">
      <w:pPr>
        <w:spacing w:after="0"/>
        <w:rPr>
          <w:b/>
          <w:i/>
          <w:sz w:val="18"/>
          <w:szCs w:val="18"/>
        </w:rPr>
      </w:pPr>
    </w:p>
    <w:p w14:paraId="673A1D7C" w14:textId="77777777" w:rsidR="00206E27" w:rsidRDefault="00206E27"/>
    <w:sectPr w:rsidR="00206E27" w:rsidSect="005B2EE8">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96BF" w14:textId="77777777" w:rsidR="00FB1E70" w:rsidRDefault="00FB1E70" w:rsidP="009B70AC">
      <w:pPr>
        <w:spacing w:after="0" w:line="240" w:lineRule="auto"/>
      </w:pPr>
      <w:r>
        <w:separator/>
      </w:r>
    </w:p>
  </w:endnote>
  <w:endnote w:type="continuationSeparator" w:id="0">
    <w:p w14:paraId="2986E18D" w14:textId="77777777" w:rsidR="00FB1E70" w:rsidRDefault="00FB1E70" w:rsidP="009B7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38C2" w14:textId="77777777" w:rsidR="008260AD" w:rsidRDefault="008260A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939119"/>
      <w:docPartObj>
        <w:docPartGallery w:val="Page Numbers (Bottom of Page)"/>
        <w:docPartUnique/>
      </w:docPartObj>
    </w:sdtPr>
    <w:sdtEndPr/>
    <w:sdtContent>
      <w:sdt>
        <w:sdtPr>
          <w:id w:val="-1769616900"/>
          <w:docPartObj>
            <w:docPartGallery w:val="Page Numbers (Top of Page)"/>
            <w:docPartUnique/>
          </w:docPartObj>
        </w:sdtPr>
        <w:sdtEndPr/>
        <w:sdtContent>
          <w:p w14:paraId="1C298EE0" w14:textId="51C7623F" w:rsidR="009B70AC" w:rsidRDefault="003B488E" w:rsidP="009B70AC">
            <w:pPr>
              <w:pStyle w:val="Sidefod"/>
            </w:pPr>
            <w:r>
              <w:rPr>
                <w:i/>
                <w:sz w:val="16"/>
                <w:szCs w:val="16"/>
              </w:rPr>
              <w:t>Version 1.0 af 20</w:t>
            </w:r>
            <w:r w:rsidR="009B70AC" w:rsidRPr="009B70AC">
              <w:rPr>
                <w:i/>
                <w:sz w:val="16"/>
                <w:szCs w:val="16"/>
              </w:rPr>
              <w:t>/10 2020</w:t>
            </w:r>
            <w:r w:rsidR="009B70AC">
              <w:tab/>
            </w:r>
            <w:r w:rsidR="009B70AC">
              <w:tab/>
              <w:t xml:space="preserve">Side </w:t>
            </w:r>
            <w:r w:rsidR="009B70AC">
              <w:rPr>
                <w:b/>
                <w:bCs/>
                <w:sz w:val="24"/>
                <w:szCs w:val="24"/>
              </w:rPr>
              <w:fldChar w:fldCharType="begin"/>
            </w:r>
            <w:r w:rsidR="009B70AC">
              <w:rPr>
                <w:b/>
                <w:bCs/>
              </w:rPr>
              <w:instrText>PAGE</w:instrText>
            </w:r>
            <w:r w:rsidR="009B70AC">
              <w:rPr>
                <w:b/>
                <w:bCs/>
                <w:sz w:val="24"/>
                <w:szCs w:val="24"/>
              </w:rPr>
              <w:fldChar w:fldCharType="separate"/>
            </w:r>
            <w:r w:rsidR="00BF1859">
              <w:rPr>
                <w:b/>
                <w:bCs/>
                <w:noProof/>
              </w:rPr>
              <w:t>1</w:t>
            </w:r>
            <w:r w:rsidR="009B70AC">
              <w:rPr>
                <w:b/>
                <w:bCs/>
                <w:sz w:val="24"/>
                <w:szCs w:val="24"/>
              </w:rPr>
              <w:fldChar w:fldCharType="end"/>
            </w:r>
            <w:r w:rsidR="009B70AC">
              <w:t xml:space="preserve"> af </w:t>
            </w:r>
            <w:r w:rsidR="009B70AC">
              <w:rPr>
                <w:b/>
                <w:bCs/>
                <w:sz w:val="24"/>
                <w:szCs w:val="24"/>
              </w:rPr>
              <w:fldChar w:fldCharType="begin"/>
            </w:r>
            <w:r w:rsidR="009B70AC">
              <w:rPr>
                <w:b/>
                <w:bCs/>
              </w:rPr>
              <w:instrText>NUMPAGES</w:instrText>
            </w:r>
            <w:r w:rsidR="009B70AC">
              <w:rPr>
                <w:b/>
                <w:bCs/>
                <w:sz w:val="24"/>
                <w:szCs w:val="24"/>
              </w:rPr>
              <w:fldChar w:fldCharType="separate"/>
            </w:r>
            <w:r w:rsidR="00BF1859">
              <w:rPr>
                <w:b/>
                <w:bCs/>
                <w:noProof/>
              </w:rPr>
              <w:t>1</w:t>
            </w:r>
            <w:r w:rsidR="009B70AC">
              <w:rPr>
                <w:b/>
                <w:bCs/>
                <w:sz w:val="24"/>
                <w:szCs w:val="24"/>
              </w:rPr>
              <w:fldChar w:fldCharType="end"/>
            </w:r>
          </w:p>
        </w:sdtContent>
      </w:sdt>
    </w:sdtContent>
  </w:sdt>
  <w:p w14:paraId="015AE01A" w14:textId="77777777" w:rsidR="009B70AC" w:rsidRDefault="009B70A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AE9E" w14:textId="77777777" w:rsidR="008260AD" w:rsidRDefault="008260A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310B" w14:textId="77777777" w:rsidR="00FB1E70" w:rsidRDefault="00FB1E70" w:rsidP="009B70AC">
      <w:pPr>
        <w:spacing w:after="0" w:line="240" w:lineRule="auto"/>
      </w:pPr>
      <w:r>
        <w:separator/>
      </w:r>
    </w:p>
  </w:footnote>
  <w:footnote w:type="continuationSeparator" w:id="0">
    <w:p w14:paraId="67BDCE36" w14:textId="77777777" w:rsidR="00FB1E70" w:rsidRDefault="00FB1E70" w:rsidP="009B7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293B" w14:textId="77777777" w:rsidR="008260AD" w:rsidRDefault="008260A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CCFB" w14:textId="6EED2D4F" w:rsidR="009B70AC" w:rsidRPr="0035118E" w:rsidRDefault="00BF1859" w:rsidP="00151E8D">
    <w:pPr>
      <w:pStyle w:val="Sidehoved"/>
      <w:spacing w:after="240"/>
    </w:pPr>
    <w:r w:rsidRPr="00BF1859">
      <w:rPr>
        <w:sz w:val="28"/>
        <w:szCs w:val="28"/>
      </w:rPr>
      <w:t>Bilag 4.</w:t>
    </w:r>
    <w:r w:rsidRPr="00BF1859">
      <w:rPr>
        <w:color w:val="FF0000"/>
        <w:sz w:val="28"/>
        <w:szCs w:val="28"/>
      </w:rPr>
      <w:t>x</w:t>
    </w:r>
    <w:r w:rsidR="009B70AC" w:rsidRPr="00BF1859">
      <w:rPr>
        <w:sz w:val="28"/>
        <w:szCs w:val="28"/>
      </w:rPr>
      <w:ptab w:relativeTo="margin" w:alignment="center" w:leader="none"/>
    </w:r>
    <w:r w:rsidR="009B70AC" w:rsidRPr="00BF1859">
      <w:rPr>
        <w:sz w:val="28"/>
        <w:szCs w:val="28"/>
      </w:rPr>
      <w:ptab w:relativeTo="margin" w:alignment="right" w:leader="none"/>
    </w:r>
    <w:r w:rsidR="008260AD">
      <w:rPr>
        <w:noProof/>
      </w:rPr>
      <w:drawing>
        <wp:inline distT="0" distB="0" distL="0" distR="0" wp14:anchorId="1BF01C93" wp14:editId="6584E407">
          <wp:extent cx="914400" cy="914400"/>
          <wp:effectExtent l="0" t="0" r="0" b="0"/>
          <wp:docPr id="1" name="Billede 1" descr="Vejle Brandvæsen_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Vejle Brandvæsen_Logo RG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9459" w14:textId="77777777" w:rsidR="008260AD" w:rsidRDefault="008260A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3D6"/>
    <w:multiLevelType w:val="hybridMultilevel"/>
    <w:tmpl w:val="9390609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BE5C53"/>
    <w:multiLevelType w:val="hybridMultilevel"/>
    <w:tmpl w:val="5C0820A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5A6266E"/>
    <w:multiLevelType w:val="hybridMultilevel"/>
    <w:tmpl w:val="26AE6E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6E45745"/>
    <w:multiLevelType w:val="hybridMultilevel"/>
    <w:tmpl w:val="7570BC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40D37DD"/>
    <w:multiLevelType w:val="hybridMultilevel"/>
    <w:tmpl w:val="B8226B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7871890"/>
    <w:multiLevelType w:val="hybridMultilevel"/>
    <w:tmpl w:val="0CE643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1B658EA"/>
    <w:multiLevelType w:val="hybridMultilevel"/>
    <w:tmpl w:val="7E70EC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2BB6016"/>
    <w:multiLevelType w:val="hybridMultilevel"/>
    <w:tmpl w:val="DF401F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DC27747"/>
    <w:multiLevelType w:val="hybridMultilevel"/>
    <w:tmpl w:val="3E7805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2"/>
  </w:num>
  <w:num w:numId="6">
    <w:abstractNumId w:val="0"/>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24D"/>
    <w:rsid w:val="0000719F"/>
    <w:rsid w:val="000A0F3A"/>
    <w:rsid w:val="000E267D"/>
    <w:rsid w:val="001011EF"/>
    <w:rsid w:val="00111730"/>
    <w:rsid w:val="00117DDB"/>
    <w:rsid w:val="00142276"/>
    <w:rsid w:val="00151E8D"/>
    <w:rsid w:val="001B7F61"/>
    <w:rsid w:val="001F6228"/>
    <w:rsid w:val="00206E27"/>
    <w:rsid w:val="002122A7"/>
    <w:rsid w:val="00216C7C"/>
    <w:rsid w:val="00240162"/>
    <w:rsid w:val="00261E56"/>
    <w:rsid w:val="002E0CAE"/>
    <w:rsid w:val="002F1129"/>
    <w:rsid w:val="0031446C"/>
    <w:rsid w:val="00332F2E"/>
    <w:rsid w:val="003378E2"/>
    <w:rsid w:val="0035118E"/>
    <w:rsid w:val="00366A9F"/>
    <w:rsid w:val="00367A91"/>
    <w:rsid w:val="003B024D"/>
    <w:rsid w:val="003B488E"/>
    <w:rsid w:val="0041398F"/>
    <w:rsid w:val="0044432F"/>
    <w:rsid w:val="004604CE"/>
    <w:rsid w:val="004B65DF"/>
    <w:rsid w:val="004F14F7"/>
    <w:rsid w:val="00510C92"/>
    <w:rsid w:val="00527E56"/>
    <w:rsid w:val="0054735A"/>
    <w:rsid w:val="005701B7"/>
    <w:rsid w:val="005B2EE8"/>
    <w:rsid w:val="005E60E5"/>
    <w:rsid w:val="005F58B4"/>
    <w:rsid w:val="00626A5A"/>
    <w:rsid w:val="0066441F"/>
    <w:rsid w:val="006A6FBE"/>
    <w:rsid w:val="00722433"/>
    <w:rsid w:val="0074306C"/>
    <w:rsid w:val="0075189F"/>
    <w:rsid w:val="0076093A"/>
    <w:rsid w:val="00777849"/>
    <w:rsid w:val="007B1320"/>
    <w:rsid w:val="007C4863"/>
    <w:rsid w:val="007E0C61"/>
    <w:rsid w:val="008260AD"/>
    <w:rsid w:val="00844074"/>
    <w:rsid w:val="00873469"/>
    <w:rsid w:val="008951D7"/>
    <w:rsid w:val="008D371D"/>
    <w:rsid w:val="009B70AC"/>
    <w:rsid w:val="009C605F"/>
    <w:rsid w:val="009D298D"/>
    <w:rsid w:val="00A0111A"/>
    <w:rsid w:val="00A61A1B"/>
    <w:rsid w:val="00A72828"/>
    <w:rsid w:val="00AA1662"/>
    <w:rsid w:val="00AE1547"/>
    <w:rsid w:val="00AF0A1A"/>
    <w:rsid w:val="00B432C8"/>
    <w:rsid w:val="00B82A35"/>
    <w:rsid w:val="00B95C74"/>
    <w:rsid w:val="00BB619F"/>
    <w:rsid w:val="00BE01D5"/>
    <w:rsid w:val="00BF1859"/>
    <w:rsid w:val="00C452A0"/>
    <w:rsid w:val="00C60C06"/>
    <w:rsid w:val="00C65849"/>
    <w:rsid w:val="00C90A63"/>
    <w:rsid w:val="00CD5BCB"/>
    <w:rsid w:val="00D05F95"/>
    <w:rsid w:val="00D17F8A"/>
    <w:rsid w:val="00D52277"/>
    <w:rsid w:val="00D671D7"/>
    <w:rsid w:val="00DA2032"/>
    <w:rsid w:val="00E63C95"/>
    <w:rsid w:val="00E74A21"/>
    <w:rsid w:val="00EB0583"/>
    <w:rsid w:val="00F00F1C"/>
    <w:rsid w:val="00F32855"/>
    <w:rsid w:val="00F55DB3"/>
    <w:rsid w:val="00F622B9"/>
    <w:rsid w:val="00FA3FDB"/>
    <w:rsid w:val="00FB1E70"/>
    <w:rsid w:val="00FD7676"/>
    <w:rsid w:val="00FF07E9"/>
    <w:rsid w:val="00FF21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59967"/>
  <w15:docId w15:val="{BD99AB8F-F76B-4A1F-B32C-206F16FA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42276"/>
    <w:pPr>
      <w:keepNext/>
      <w:keepLines/>
      <w:spacing w:before="240" w:after="0"/>
      <w:outlineLvl w:val="0"/>
    </w:pPr>
    <w:rPr>
      <w:rFonts w:eastAsiaTheme="majorEastAsia" w:cstheme="majorBidi"/>
      <w:color w:val="000000" w:themeColor="text1"/>
      <w:sz w:val="32"/>
      <w:szCs w:val="32"/>
    </w:rPr>
  </w:style>
  <w:style w:type="paragraph" w:styleId="Overskrift2">
    <w:name w:val="heading 2"/>
    <w:basedOn w:val="Normal"/>
    <w:next w:val="Normal"/>
    <w:link w:val="Overskrift2Tegn"/>
    <w:uiPriority w:val="9"/>
    <w:unhideWhenUsed/>
    <w:qFormat/>
    <w:rsid w:val="00142276"/>
    <w:pPr>
      <w:keepNext/>
      <w:keepLines/>
      <w:spacing w:before="40" w:after="0"/>
      <w:outlineLvl w:val="1"/>
    </w:pPr>
    <w:rPr>
      <w:rFonts w:eastAsiaTheme="majorEastAsia" w:cstheme="majorBidi"/>
      <w:color w:val="000000" w:themeColor="text1"/>
      <w:sz w:val="28"/>
      <w:szCs w:val="26"/>
    </w:rPr>
  </w:style>
  <w:style w:type="paragraph" w:styleId="Overskrift3">
    <w:name w:val="heading 3"/>
    <w:basedOn w:val="Normal"/>
    <w:next w:val="Normal"/>
    <w:link w:val="Overskrift3Tegn"/>
    <w:uiPriority w:val="9"/>
    <w:semiHidden/>
    <w:unhideWhenUsed/>
    <w:qFormat/>
    <w:rsid w:val="00142276"/>
    <w:pPr>
      <w:keepNext/>
      <w:keepLines/>
      <w:spacing w:before="40" w:after="0"/>
      <w:outlineLvl w:val="2"/>
    </w:pPr>
    <w:rPr>
      <w:rFonts w:eastAsiaTheme="majorEastAsia" w:cstheme="majorBidi"/>
      <w:b/>
      <w:color w:val="000000" w:themeColor="text1"/>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2276"/>
    <w:rPr>
      <w:rFonts w:eastAsiaTheme="majorEastAsia" w:cstheme="majorBidi"/>
      <w:color w:val="000000" w:themeColor="text1"/>
      <w:sz w:val="32"/>
      <w:szCs w:val="32"/>
    </w:rPr>
  </w:style>
  <w:style w:type="character" w:customStyle="1" w:styleId="Overskrift2Tegn">
    <w:name w:val="Overskrift 2 Tegn"/>
    <w:basedOn w:val="Standardskrifttypeiafsnit"/>
    <w:link w:val="Overskrift2"/>
    <w:uiPriority w:val="9"/>
    <w:rsid w:val="00142276"/>
    <w:rPr>
      <w:rFonts w:eastAsiaTheme="majorEastAsia" w:cstheme="majorBidi"/>
      <w:color w:val="000000" w:themeColor="text1"/>
      <w:sz w:val="28"/>
      <w:szCs w:val="26"/>
    </w:rPr>
  </w:style>
  <w:style w:type="character" w:customStyle="1" w:styleId="Overskrift3Tegn">
    <w:name w:val="Overskrift 3 Tegn"/>
    <w:basedOn w:val="Standardskrifttypeiafsnit"/>
    <w:link w:val="Overskrift3"/>
    <w:uiPriority w:val="9"/>
    <w:semiHidden/>
    <w:rsid w:val="00142276"/>
    <w:rPr>
      <w:rFonts w:eastAsiaTheme="majorEastAsia" w:cstheme="majorBidi"/>
      <w:b/>
      <w:color w:val="000000" w:themeColor="text1"/>
      <w:sz w:val="24"/>
      <w:szCs w:val="24"/>
    </w:rPr>
  </w:style>
  <w:style w:type="paragraph" w:styleId="Sidehoved">
    <w:name w:val="header"/>
    <w:basedOn w:val="Normal"/>
    <w:link w:val="SidehovedTegn"/>
    <w:uiPriority w:val="99"/>
    <w:unhideWhenUsed/>
    <w:rsid w:val="009B70A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70AC"/>
  </w:style>
  <w:style w:type="paragraph" w:styleId="Sidefod">
    <w:name w:val="footer"/>
    <w:basedOn w:val="Normal"/>
    <w:link w:val="SidefodTegn"/>
    <w:uiPriority w:val="99"/>
    <w:unhideWhenUsed/>
    <w:rsid w:val="009B70A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70AC"/>
  </w:style>
  <w:style w:type="table" w:styleId="Tabel-Gitter">
    <w:name w:val="Table Grid"/>
    <w:basedOn w:val="Tabel-Normal"/>
    <w:uiPriority w:val="39"/>
    <w:rsid w:val="009B7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67A91"/>
    <w:pPr>
      <w:ind w:left="720"/>
      <w:contextualSpacing/>
    </w:pPr>
  </w:style>
  <w:style w:type="character" w:styleId="Hyperlink">
    <w:name w:val="Hyperlink"/>
    <w:basedOn w:val="Standardskrifttypeiafsnit"/>
    <w:uiPriority w:val="99"/>
    <w:unhideWhenUsed/>
    <w:rsid w:val="002122A7"/>
    <w:rPr>
      <w:color w:val="0563C1" w:themeColor="hyperlink"/>
      <w:u w:val="single"/>
    </w:rPr>
  </w:style>
  <w:style w:type="paragraph" w:styleId="Markeringsbobletekst">
    <w:name w:val="Balloon Text"/>
    <w:basedOn w:val="Normal"/>
    <w:link w:val="MarkeringsbobletekstTegn"/>
    <w:uiPriority w:val="99"/>
    <w:semiHidden/>
    <w:unhideWhenUsed/>
    <w:rsid w:val="00D17F8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17F8A"/>
    <w:rPr>
      <w:rFonts w:ascii="Tahoma" w:hAnsi="Tahoma" w:cs="Tahoma"/>
      <w:sz w:val="16"/>
      <w:szCs w:val="16"/>
    </w:rPr>
  </w:style>
  <w:style w:type="table" w:customStyle="1" w:styleId="Tabel-Gitter1">
    <w:name w:val="Tabel - Gitter1"/>
    <w:basedOn w:val="Tabel-Normal"/>
    <w:next w:val="Tabel-Gitter"/>
    <w:rsid w:val="00151E8D"/>
    <w:pPr>
      <w:spacing w:after="0" w:line="240" w:lineRule="auto"/>
    </w:pPr>
    <w:rPr>
      <w:rFonts w:ascii="Times New Roman" w:eastAsia="Times New Roman" w:hAnsi="Times New Roman" w:cs="Times New Roman"/>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6BF2D98-B518-434A-953B-20B49686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1673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Aabenraa Kommune</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Roest</dc:creator>
  <cp:lastModifiedBy>Erik Skallerup  Vejle Brandvæsen - Adm. og ledelse  Teknik &amp; Miljø  Vejle Kommune</cp:lastModifiedBy>
  <cp:revision>2</cp:revision>
  <cp:lastPrinted>2020-10-20T13:06:00Z</cp:lastPrinted>
  <dcterms:created xsi:type="dcterms:W3CDTF">2022-11-07T07:33:00Z</dcterms:created>
  <dcterms:modified xsi:type="dcterms:W3CDTF">2022-11-07T07:33:00Z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{F37E65A5-593C-44DC-929C-6A7A7D4E2122}</vt:lpwstr>
  </property>
</Properties>
</file>