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0B0D5BBE" w14:textId="2A576403" w:rsidR="00121CA7" w:rsidRPr="004367A4" w:rsidRDefault="00121CA7" w:rsidP="00121CA7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Pr="00121CA7">
        <w:rPr>
          <w:rFonts w:ascii="K2D" w:hAnsi="K2D" w:cs="K2D"/>
          <w:b/>
          <w:bCs/>
          <w:sz w:val="36"/>
          <w:szCs w:val="36"/>
        </w:rPr>
        <w:t>FLUGTVEJS- OG PANIKBELYSNING</w:t>
      </w:r>
    </w:p>
    <w:p w14:paraId="1331F8D3" w14:textId="77777777" w:rsidR="00121CA7" w:rsidRPr="00121CA7" w:rsidRDefault="00121CA7" w:rsidP="00C54006">
      <w:pPr>
        <w:spacing w:after="0"/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27DD0235" w:rsidR="00121CA7" w:rsidRPr="00121CA7" w:rsidRDefault="00121CA7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121CA7">
              <w:rPr>
                <w:rFonts w:ascii="K2D" w:hAnsi="K2D" w:cs="K2D"/>
                <w:b/>
                <w:bCs/>
              </w:rPr>
              <w:t>Månedlig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0707964C" w:rsidR="00121CA7" w:rsidRPr="00121CA7" w:rsidRDefault="00121CA7" w:rsidP="00121CA7">
            <w:pPr>
              <w:pStyle w:val="Listeafsnit"/>
              <w:numPr>
                <w:ilvl w:val="0"/>
                <w:numId w:val="10"/>
              </w:num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121CA7">
              <w:rPr>
                <w:rFonts w:ascii="K2D" w:hAnsi="K2D" w:cs="K2D"/>
                <w:sz w:val="18"/>
                <w:szCs w:val="18"/>
              </w:rPr>
              <w:t>Det kontrolleres, at samtlige flugtvejsarmaturer er funktionsduelige.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7CBAF193" w:rsidR="00121CA7" w:rsidRPr="00121CA7" w:rsidRDefault="00121CA7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121CA7">
              <w:rPr>
                <w:rFonts w:ascii="K2D" w:hAnsi="K2D" w:cs="K2D"/>
                <w:b/>
                <w:bCs/>
              </w:rPr>
              <w:t>Halvårlig</w:t>
            </w:r>
            <w:r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0CCD47A5" w14:textId="7F2407A7" w:rsidR="00121CA7" w:rsidRPr="00C54006" w:rsidRDefault="00121CA7" w:rsidP="00121CA7">
            <w:pPr>
              <w:pStyle w:val="Listeafsnit"/>
              <w:numPr>
                <w:ilvl w:val="0"/>
                <w:numId w:val="9"/>
              </w:numPr>
              <w:rPr>
                <w:rFonts w:ascii="K2D" w:hAnsi="K2D" w:cs="K2D"/>
                <w:b/>
                <w:bCs/>
                <w:sz w:val="18"/>
                <w:szCs w:val="18"/>
              </w:rPr>
            </w:pPr>
            <w:r w:rsidRPr="00121CA7">
              <w:rPr>
                <w:rFonts w:ascii="K2D" w:hAnsi="K2D" w:cs="K2D"/>
                <w:sz w:val="18"/>
                <w:szCs w:val="18"/>
              </w:rPr>
              <w:t xml:space="preserve">Det kontrolleres, at flugtvejs-og panikbelysningen ved strømafbrydelse automatisk skifter over på den sekundære strømforsyning, enten batteri </w:t>
            </w:r>
            <w:proofErr w:type="spellStart"/>
            <w:r w:rsidRPr="00121CA7">
              <w:rPr>
                <w:rFonts w:ascii="K2D" w:hAnsi="K2D" w:cs="K2D"/>
                <w:sz w:val="18"/>
                <w:szCs w:val="18"/>
              </w:rPr>
              <w:t>back-up</w:t>
            </w:r>
            <w:proofErr w:type="spellEnd"/>
            <w:r w:rsidRPr="00121CA7">
              <w:rPr>
                <w:rFonts w:ascii="K2D" w:hAnsi="K2D" w:cs="K2D"/>
                <w:sz w:val="18"/>
                <w:szCs w:val="18"/>
              </w:rPr>
              <w:t xml:space="preserve"> eller </w:t>
            </w:r>
            <w:r w:rsidRPr="00C54006">
              <w:rPr>
                <w:rFonts w:ascii="K2D" w:hAnsi="K2D" w:cs="K2D"/>
                <w:sz w:val="18"/>
                <w:szCs w:val="18"/>
              </w:rPr>
              <w:t>sekundær strømforsyning for anlæg med dobbelt strømforsyning</w:t>
            </w:r>
            <w:r w:rsidRPr="00C54006">
              <w:rPr>
                <w:rFonts w:ascii="K2D" w:hAnsi="K2D" w:cs="K2D"/>
                <w:sz w:val="18"/>
                <w:szCs w:val="18"/>
              </w:rPr>
              <w:t>.</w:t>
            </w:r>
            <w:r w:rsidRPr="00C54006">
              <w:rPr>
                <w:rFonts w:ascii="K2D" w:hAnsi="K2D" w:cs="K2D"/>
                <w:sz w:val="18"/>
                <w:szCs w:val="18"/>
              </w:rPr>
              <w:br/>
              <w:t xml:space="preserve"> </w:t>
            </w:r>
          </w:p>
          <w:p w14:paraId="7050BA0A" w14:textId="2722DA78" w:rsidR="00121CA7" w:rsidRPr="00C54006" w:rsidRDefault="00121CA7" w:rsidP="00121CA7">
            <w:pPr>
              <w:pStyle w:val="Listeafsnit"/>
              <w:numPr>
                <w:ilvl w:val="0"/>
                <w:numId w:val="9"/>
              </w:numPr>
              <w:spacing w:before="240"/>
              <w:rPr>
                <w:rFonts w:ascii="K2D" w:hAnsi="K2D" w:cs="K2D"/>
                <w:b/>
                <w:bCs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Strømforsyningen til normalbelysningen afbrydes, og det kontrolleres, om flugtvejs- og panikbelysning har den krævede backupfunktion med strømafbrydelse i den krævede tid. For decentrale anlæg skal samtlige</w:t>
            </w:r>
            <w:r w:rsidRPr="00C54006">
              <w:rPr>
                <w:rFonts w:ascii="K2D" w:hAnsi="K2D" w:cs="K2D"/>
                <w:sz w:val="18"/>
                <w:szCs w:val="18"/>
              </w:rPr>
              <w:t xml:space="preserve"> </w:t>
            </w:r>
            <w:r w:rsidRPr="00C54006">
              <w:rPr>
                <w:rFonts w:ascii="K2D" w:hAnsi="K2D" w:cs="K2D"/>
                <w:sz w:val="18"/>
                <w:szCs w:val="18"/>
              </w:rPr>
              <w:t>armaturer kontrolleres.</w:t>
            </w:r>
            <w:r w:rsidRPr="00C54006">
              <w:rPr>
                <w:rFonts w:ascii="K2D" w:hAnsi="K2D" w:cs="K2D"/>
                <w:sz w:val="18"/>
                <w:szCs w:val="18"/>
              </w:rPr>
              <w:br/>
              <w:t xml:space="preserve"> </w:t>
            </w:r>
          </w:p>
          <w:p w14:paraId="3E26EDBE" w14:textId="513B7051" w:rsidR="00121CA7" w:rsidRPr="00121CA7" w:rsidRDefault="00121CA7" w:rsidP="00121CA7">
            <w:pPr>
              <w:pStyle w:val="Listeafsnit"/>
              <w:numPr>
                <w:ilvl w:val="0"/>
                <w:numId w:val="9"/>
              </w:numPr>
              <w:spacing w:before="240"/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Ved kontrolpanelet for flugtvejs- og panikbelysning, skal der være ophængt en instruks med udførlig vejledning i flugtvejs- og panikbelysningens betjening og afprøvning. Instruksen skal indikere hvilke</w:t>
            </w:r>
            <w:r w:rsidRPr="00C54006">
              <w:rPr>
                <w:rFonts w:ascii="K2D" w:hAnsi="K2D" w:cs="K2D"/>
                <w:sz w:val="18"/>
                <w:szCs w:val="18"/>
              </w:rPr>
              <w:t xml:space="preserve"> </w:t>
            </w:r>
            <w:r w:rsidRPr="00C54006">
              <w:rPr>
                <w:rFonts w:ascii="K2D" w:hAnsi="K2D" w:cs="K2D"/>
                <w:sz w:val="18"/>
                <w:szCs w:val="18"/>
              </w:rPr>
              <w:t xml:space="preserve">grupper, der skal afbrydes for kontrol af </w:t>
            </w:r>
            <w:proofErr w:type="spellStart"/>
            <w:r w:rsidRPr="00C54006">
              <w:rPr>
                <w:rFonts w:ascii="K2D" w:hAnsi="K2D" w:cs="K2D"/>
                <w:sz w:val="18"/>
                <w:szCs w:val="18"/>
              </w:rPr>
              <w:t>back-up</w:t>
            </w:r>
            <w:proofErr w:type="spellEnd"/>
            <w:r w:rsidRPr="00C54006">
              <w:rPr>
                <w:rFonts w:ascii="K2D" w:hAnsi="K2D" w:cs="K2D"/>
                <w:sz w:val="18"/>
                <w:szCs w:val="18"/>
              </w:rPr>
              <w:t xml:space="preserve"> funktionen. Tillige skal de enkelte afbrydere i </w:t>
            </w:r>
            <w:proofErr w:type="spellStart"/>
            <w:r w:rsidRPr="00C54006">
              <w:rPr>
                <w:rFonts w:ascii="K2D" w:hAnsi="K2D" w:cs="K2D"/>
                <w:sz w:val="18"/>
                <w:szCs w:val="18"/>
              </w:rPr>
              <w:t>el-tavlerne</w:t>
            </w:r>
            <w:proofErr w:type="spellEnd"/>
            <w:r w:rsidRPr="00C54006">
              <w:rPr>
                <w:rFonts w:ascii="K2D" w:hAnsi="K2D" w:cs="K2D"/>
                <w:sz w:val="18"/>
                <w:szCs w:val="18"/>
              </w:rPr>
              <w:t xml:space="preserve"> for kontrol af denne backup funktion være markeret.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94" w:type="dxa"/>
        <w:tblLook w:val="04A0" w:firstRow="1" w:lastRow="0" w:firstColumn="1" w:lastColumn="0" w:noHBand="0" w:noVBand="1"/>
      </w:tblPr>
      <w:tblGrid>
        <w:gridCol w:w="1905"/>
        <w:gridCol w:w="925"/>
        <w:gridCol w:w="743"/>
        <w:gridCol w:w="742"/>
        <w:gridCol w:w="745"/>
        <w:gridCol w:w="741"/>
        <w:gridCol w:w="744"/>
        <w:gridCol w:w="743"/>
        <w:gridCol w:w="735"/>
        <w:gridCol w:w="746"/>
        <w:gridCol w:w="743"/>
        <w:gridCol w:w="740"/>
        <w:gridCol w:w="745"/>
        <w:gridCol w:w="743"/>
        <w:gridCol w:w="1227"/>
        <w:gridCol w:w="1227"/>
      </w:tblGrid>
      <w:tr w:rsidR="005D4649" w:rsidRPr="00C54006" w14:paraId="02BF2AA3" w14:textId="06A4D5F8" w:rsidTr="00210B12">
        <w:trPr>
          <w:trHeight w:val="397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54587F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 w:rsidR="005D4649"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6AB0E9B5" w:rsidR="005D4649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8F8B5" w14:textId="6733EF17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A17BD" w14:textId="393DEBB6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D7B4A" w14:textId="2533B002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F8040" w14:textId="5ECD2345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80432" w14:textId="31AA04DF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5D00C" w14:textId="456782A5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B4D0D" w14:textId="4A08D4E6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7CCC2" w14:textId="777D4D06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EA93" w14:textId="56990BBB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1B071" w14:textId="6B7ED52E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42C30295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A63AF" w14:textId="3DA4E057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1. halvår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13846" w14:textId="78CF59EF" w:rsidR="00C54006" w:rsidRPr="005D4649" w:rsidRDefault="00C54006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2. halvår</w:t>
            </w:r>
          </w:p>
        </w:tc>
      </w:tr>
      <w:tr w:rsidR="005D4649" w:rsidRPr="00C54006" w14:paraId="1FE7A4B0" w14:textId="35C8C393" w:rsidTr="00135D89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F119D57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0ECBE4B5" w14:textId="3886155B" w:rsidR="004367A4" w:rsidRDefault="004367A4" w:rsidP="005D464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C7FEC89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6D8B1A61" w14:textId="0AEE1476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A7DE46" w14:textId="77777777" w:rsidR="00C54006" w:rsidRPr="00C54006" w:rsidRDefault="00C54006" w:rsidP="004367A4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89633C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9C7FF3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07109B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4B9FD8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794789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14B060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E98FC2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E40FF9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F10D8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FC1FE1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E0EFB0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F5F5C4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1A6713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03E509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22058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54648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9524C5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2FF9607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18A899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4C634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22B5E04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D5665D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ACC5E9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C28045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A2B690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68D6A1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BF8F1D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372D39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69948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C54006" w:rsidRPr="00C54006" w:rsidRDefault="00C54006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5D4649" w:rsidRPr="005D4649" w14:paraId="1CEA3715" w14:textId="77777777" w:rsidTr="005D4649">
              <w:tc>
                <w:tcPr>
                  <w:tcW w:w="360" w:type="dxa"/>
                </w:tcPr>
                <w:p w14:paraId="0E280E26" w14:textId="11BACBB9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1B3804D" w14:textId="46264469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4E4DE22A" w14:textId="451B3F92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24FD2E58" w14:textId="77777777" w:rsidR="00C54006" w:rsidRPr="005D4649" w:rsidRDefault="00C54006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5D4649" w:rsidRPr="005D4649" w14:paraId="6FF20D68" w14:textId="77777777" w:rsidTr="00EF4D5E">
              <w:tc>
                <w:tcPr>
                  <w:tcW w:w="360" w:type="dxa"/>
                </w:tcPr>
                <w:p w14:paraId="4750DEEC" w14:textId="4A8B2937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484EBE3" w14:textId="57B90F2E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7A5A295F" w14:textId="71882D47" w:rsidR="005D4649" w:rsidRPr="005D4649" w:rsidRDefault="005D4649" w:rsidP="005D4649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203B8D7" w14:textId="77777777" w:rsidR="00C54006" w:rsidRPr="005D4649" w:rsidRDefault="00C54006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3C7A4268" w14:textId="13D6F32A" w:rsidTr="00135D89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7AB111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D74DF6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493611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8BA77D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A3A41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3C3811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FFC8B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DBEF8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DC420A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3B8E0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803B8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B65258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8262BA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9443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B559D1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25D2B5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3B1AC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20B5E1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E77B94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77FC0A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E80D36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926546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0E978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14B5AB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F3AE40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D77C6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2D66BD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2E47E8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CCEA1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6D40C9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6F3ECE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C55C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A8B156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FF30ECA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11175627" w14:textId="77777777" w:rsidTr="00EF4D5E">
              <w:tc>
                <w:tcPr>
                  <w:tcW w:w="360" w:type="dxa"/>
                </w:tcPr>
                <w:p w14:paraId="21D1A408" w14:textId="41628C32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28E9B0E" w14:textId="7CA930ED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33DF1AE3" w14:textId="01C7015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1232A896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14F4E325" w14:textId="77777777" w:rsidTr="00EF4D5E">
              <w:tc>
                <w:tcPr>
                  <w:tcW w:w="360" w:type="dxa"/>
                </w:tcPr>
                <w:p w14:paraId="33F93E33" w14:textId="2BC85FAB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BD40842" w14:textId="410AF3AB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104DD519" w14:textId="5C32CB13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83B4AD4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0B58498A" w14:textId="55B2862C" w:rsidTr="00135D89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2674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73FB61D6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38E07F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B721B4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9E0B1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FD968B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AD3F13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1CCD6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07C437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29385A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3016E1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1B1A63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A34411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8E8671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016C4E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742287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C843F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0F6B2A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8BC44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E4F7D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03143E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32FEA0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A0485B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AF484D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D07452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898C9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42CD2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9820B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2C2D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0630D1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6889259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B5A5B7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6EEB33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2F9098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474EE5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3040C7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E5F246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4E8DD0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0683641A" w14:textId="77777777" w:rsidTr="00EF4D5E">
              <w:tc>
                <w:tcPr>
                  <w:tcW w:w="360" w:type="dxa"/>
                </w:tcPr>
                <w:p w14:paraId="0DE54E20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0F2CD0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6DAFA615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2473D8F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45BC374E" w14:textId="77777777" w:rsidTr="00EF4D5E">
              <w:tc>
                <w:tcPr>
                  <w:tcW w:w="360" w:type="dxa"/>
                </w:tcPr>
                <w:p w14:paraId="79A3DF48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EB9C2F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5778861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CD23A0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4367A4" w:rsidRPr="00C54006" w14:paraId="7EA4E5F0" w14:textId="77777777" w:rsidTr="00135D89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E645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17161E81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EDA796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D5FCA2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0F960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BAB680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714D3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8BA08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D54E01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9C1DD5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69B48C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04B1DC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C25C6D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E43779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CC630D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CC2EB3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D4FEDB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F288BE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A4C60C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E605E9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C980BA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18B005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21A05F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DB111B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003D28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B64EF7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A874D2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D02411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445EC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83A79A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3A7D24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F6014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0E74CE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6590A2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9C68C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FD7B0D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47D8EA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66C353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1A88C7D6" w14:textId="77777777" w:rsidTr="00EF4D5E">
              <w:tc>
                <w:tcPr>
                  <w:tcW w:w="360" w:type="dxa"/>
                </w:tcPr>
                <w:p w14:paraId="469CE725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C5C5DB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4E8334AE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50417AA8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06FBBB01" w14:textId="77777777" w:rsidTr="00EF4D5E">
              <w:tc>
                <w:tcPr>
                  <w:tcW w:w="360" w:type="dxa"/>
                </w:tcPr>
                <w:p w14:paraId="0C67214E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756887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1237EFEB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B0B6169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322908F9" w14:textId="77777777" w:rsidTr="00135D89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AD9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98E36" w14:textId="16D2C2BF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BBEFF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E263B5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CA1A05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FC2F74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95F801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90BA3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61005D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596679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459C70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E9F5E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FBBB1C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8F4C3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27B90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2F2AA4A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6B46B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8AD995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95CD03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850D4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577805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6DF742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5A85F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306456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4845038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BD1A77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7633D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2A1E1E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512B1E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FCC9DE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53DD2C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3F1EA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8E608C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7D2467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58756D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3DB91A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BEB104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41C3B9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3EF427F9" w14:textId="77777777" w:rsidTr="00EF4D5E">
              <w:tc>
                <w:tcPr>
                  <w:tcW w:w="360" w:type="dxa"/>
                </w:tcPr>
                <w:p w14:paraId="2E85CE5D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E4A895E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6C84D534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A2711DA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25DBB100" w14:textId="77777777" w:rsidTr="00EF4D5E">
              <w:tc>
                <w:tcPr>
                  <w:tcW w:w="360" w:type="dxa"/>
                </w:tcPr>
                <w:p w14:paraId="37AE4D81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4E023BB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15C79CEB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47E4DE18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34A070F1" w14:textId="77777777" w:rsidTr="00135D89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1C5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6CA6B6D" w14:textId="0A199722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0E60B2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96EF628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881554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FE5B58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44616C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7247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0BABB8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A72C9F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82EA0C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976BA8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6B9301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FD9D67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640208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ADF5EA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048E1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D6C6F4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52D143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0CB9E1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ED1D5E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3F5913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E7C7F8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C4DD33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309069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35D14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B4FF83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AD16C9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A9C23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BF53DA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5F1E54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B8BBD3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9BE80F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A4A918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E805D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6F6668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C65C2F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5990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11C8A445" w14:textId="77777777" w:rsidTr="00EF4D5E">
              <w:tc>
                <w:tcPr>
                  <w:tcW w:w="360" w:type="dxa"/>
                </w:tcPr>
                <w:p w14:paraId="12C7B511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27A0C1E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6F2FA48D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D3C3566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1B074098" w14:textId="77777777" w:rsidTr="00EF4D5E">
              <w:tc>
                <w:tcPr>
                  <w:tcW w:w="360" w:type="dxa"/>
                </w:tcPr>
                <w:p w14:paraId="5952A609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2B87F3C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0AF60415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49D96910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5375AFE8" w14:textId="77777777" w:rsidTr="00135D89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F98E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91A7F4F" w14:textId="1F1253AD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CE364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67A4CD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892D0E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029EC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A80F45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658B5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B5D01E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356FE0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9F0C0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0FC9C3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A1FCCB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9E363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44DA25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6018B6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192167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FD0360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159DF16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73FE0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EBDA9D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1B52E4A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8E58B5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567688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D2A937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1E796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941306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B222DBB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24D34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BDFFA9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E9E41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CA9A6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1CD19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A9CF0C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392E13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F1C624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445A6CB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4D7263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2963AE95" w14:textId="77777777" w:rsidTr="00EF4D5E">
              <w:tc>
                <w:tcPr>
                  <w:tcW w:w="360" w:type="dxa"/>
                </w:tcPr>
                <w:p w14:paraId="1D20E153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170FFF4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3717DC1A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1CE10184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0DE56868" w14:textId="77777777" w:rsidTr="00EF4D5E">
              <w:tc>
                <w:tcPr>
                  <w:tcW w:w="360" w:type="dxa"/>
                </w:tcPr>
                <w:p w14:paraId="702D5B80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71C216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2D396506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F03E503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36E7534D" w14:textId="77777777" w:rsidTr="00135D89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5AEC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77FA3BF" w14:textId="63737ED2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627FF9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F3484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B9B5D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A63753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785282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D82090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2A6BBC7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495305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0A1C23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E4FC1B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229F2A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8A47BF0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398334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C6A44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9339CB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C8D337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0F2C57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104CA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62F4E99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FFBB3D8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85AA97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9B7F699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FE6F0F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925316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0EB667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17C198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2E4DBB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674869F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C6E60F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0CEB8A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9372FA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F5D4BF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8EB42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930DB3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52BB7A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EA26C66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6BFBB778" w14:textId="77777777" w:rsidTr="00EF4D5E">
              <w:tc>
                <w:tcPr>
                  <w:tcW w:w="360" w:type="dxa"/>
                </w:tcPr>
                <w:p w14:paraId="60D533ED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E35EBAD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259F5139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68256749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0BA1C55E" w14:textId="77777777" w:rsidTr="00EF4D5E">
              <w:tc>
                <w:tcPr>
                  <w:tcW w:w="360" w:type="dxa"/>
                </w:tcPr>
                <w:p w14:paraId="32BA668A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3FC7DFF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787A6C83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DF83A73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0C714B44" w14:textId="77777777" w:rsidTr="00135D89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68D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2348BF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302CD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EB002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F1E819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4E98EF8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1575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4DFE65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5E188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30A4E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FF1E72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C951FC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324AB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1578AA9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3D50F4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6A304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D1EDEF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66F766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ECB7BD9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64295599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45D238A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5AFC0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D8CBE5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0C5C11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84CF8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3B4F86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6F9BB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1B10B0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CDF0D1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AB0B58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5C202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591DE2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05978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4B624C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225BCB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804FB33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06D26E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699BD0F2" w14:textId="77777777" w:rsidTr="00EF4D5E">
              <w:tc>
                <w:tcPr>
                  <w:tcW w:w="360" w:type="dxa"/>
                </w:tcPr>
                <w:p w14:paraId="60589C2D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26C5DF6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525D8A9F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4BC3911D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309EE638" w14:textId="77777777" w:rsidTr="00EF4D5E">
              <w:tc>
                <w:tcPr>
                  <w:tcW w:w="360" w:type="dxa"/>
                </w:tcPr>
                <w:p w14:paraId="19ABD64B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048B0D1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2FB43D4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28A2E67E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4367A4" w:rsidRPr="00C54006" w14:paraId="23AB3100" w14:textId="77777777" w:rsidTr="00135D89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A9992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4367A4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3ECDD4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CC6064E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DEF1B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6D9794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0F15F1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EAF6B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FA1B48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00D772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083F33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571EA05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997FF00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F6D4425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4BB3CB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CFA988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DDC174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BEDD0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158DCD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751451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4FC0F56F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D5E251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999636F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36A6227F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89491B2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88647B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1C2854F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E862AE5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7837D47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04BE494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250E717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A69E848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6857CC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30D0BAC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00E3AD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4367A4" w14:paraId="747F3C8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A10E071" w14:textId="77777777" w:rsidR="004367A4" w:rsidRDefault="004367A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2B55AA" w14:textId="77777777" w:rsidR="004367A4" w:rsidRPr="00C54006" w:rsidRDefault="004367A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3B44FC5D" w14:textId="77777777" w:rsidTr="00EF4D5E">
              <w:tc>
                <w:tcPr>
                  <w:tcW w:w="360" w:type="dxa"/>
                </w:tcPr>
                <w:p w14:paraId="476B5CE5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D79022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74C16B79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E823139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42"/>
              <w:gridCol w:w="343"/>
            </w:tblGrid>
            <w:tr w:rsidR="004367A4" w:rsidRPr="005D4649" w14:paraId="33D838C2" w14:textId="77777777" w:rsidTr="00EF4D5E">
              <w:tc>
                <w:tcPr>
                  <w:tcW w:w="360" w:type="dxa"/>
                </w:tcPr>
                <w:p w14:paraId="60925BEB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9DD21EE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636BA650" w14:textId="77777777" w:rsidR="004367A4" w:rsidRPr="005D4649" w:rsidRDefault="004367A4" w:rsidP="004367A4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63A74912" w14:textId="77777777" w:rsidR="004367A4" w:rsidRPr="005D4649" w:rsidRDefault="004367A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5D4649" w:rsidRPr="00C54006" w14:paraId="393F46C0" w14:textId="77777777" w:rsidTr="00135D89">
        <w:trPr>
          <w:trHeight w:val="34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5D4649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31E96B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5D49DBE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8B43CC4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58C14A0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A002DC5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3E8AAC6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FEC16FE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F3AD66D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F4110BA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E2B9699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93D3C0F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2631658" w14:textId="77777777" w:rsidR="005D4649" w:rsidRPr="005D4649" w:rsidRDefault="005D4649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E5CCD5D" w14:textId="77777777" w:rsidR="005D4649" w:rsidRPr="005D4649" w:rsidRDefault="005D4649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5D4649" w:rsidRPr="00C54006" w14:paraId="5529A563" w14:textId="77777777" w:rsidTr="00210B12">
        <w:trPr>
          <w:trHeight w:val="340"/>
        </w:trPr>
        <w:tc>
          <w:tcPr>
            <w:tcW w:w="2830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5D4649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2D8A14AE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54816FA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A63E66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B4B721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4E2524C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97BD0E6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1E09F69A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F462CE9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235E4F9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89E07E3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1A16ABA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5D4649" w:rsidRPr="00C54006" w:rsidRDefault="005D4649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5EBAAD09" w14:textId="77777777" w:rsidR="005D4649" w:rsidRPr="005D4649" w:rsidRDefault="005D4649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A8D2DFA" w14:textId="77777777" w:rsidR="005D4649" w:rsidRPr="005D4649" w:rsidRDefault="005D4649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712AA755" w14:textId="6BA9F8B1" w:rsidR="00121CA7" w:rsidRDefault="00121CA7" w:rsidP="005D4649">
      <w:pPr>
        <w:rPr>
          <w:rFonts w:ascii="K2D" w:hAnsi="K2D" w:cs="K2D"/>
        </w:rPr>
      </w:pPr>
    </w:p>
    <w:p w14:paraId="3907A7AC" w14:textId="26660A5D" w:rsidR="00C54006" w:rsidRDefault="00C54006" w:rsidP="00C54006">
      <w:pPr>
        <w:spacing w:after="0"/>
        <w:rPr>
          <w:rFonts w:ascii="K2D" w:hAnsi="K2D" w:cs="K2D"/>
        </w:rPr>
      </w:pPr>
    </w:p>
    <w:p w14:paraId="33A848A2" w14:textId="77777777" w:rsidR="00D0465D" w:rsidRDefault="00D0465D" w:rsidP="00C54006">
      <w:pPr>
        <w:spacing w:after="0"/>
        <w:rPr>
          <w:rFonts w:ascii="K2D" w:hAnsi="K2D" w:cs="K2D"/>
        </w:rPr>
      </w:pPr>
    </w:p>
    <w:p w14:paraId="37B8FD26" w14:textId="4ED46210" w:rsidR="00C54006" w:rsidRDefault="00C54006" w:rsidP="00C54006">
      <w:pPr>
        <w:spacing w:after="0"/>
        <w:rPr>
          <w:rFonts w:ascii="K2D" w:hAnsi="K2D" w:cs="K2D"/>
        </w:rPr>
      </w:pPr>
    </w:p>
    <w:p w14:paraId="44C2CFB0" w14:textId="77777777" w:rsidR="00C54006" w:rsidRP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4F1DF7D8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052AF5B" w14:textId="27547EA5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C54006" w14:paraId="0056C607" w14:textId="77777777" w:rsidTr="00C54006">
        <w:tc>
          <w:tcPr>
            <w:tcW w:w="14165" w:type="dxa"/>
          </w:tcPr>
          <w:p w14:paraId="2C56F546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3A3CEC8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D2054C2" w14:textId="59F74731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E73028E" w14:textId="1D360709" w:rsidR="00D0465D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CB8AB14" w14:textId="77777777" w:rsidR="00D0465D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24D4E45" w14:textId="00A65E8B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985B88A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D8D4991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32DE69C" w14:textId="77777777" w:rsidR="004367A4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6FE047BF" w14:textId="77777777" w:rsidR="004367A4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1E10AA02" w14:textId="32F4AEBD" w:rsidR="004367A4" w:rsidRPr="00C54006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1B12190C" w14:textId="0694112B" w:rsidR="00C54006" w:rsidRPr="00C54006" w:rsidRDefault="00C54006" w:rsidP="00C5400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5400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C54006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597BB4A5" w14:textId="3F0D41C4" w:rsidR="00C54006" w:rsidRPr="00C54006" w:rsidRDefault="00C54006" w:rsidP="00C5400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DBI Vejledning 34 ”Sikkerhedsbelysning”, Dansk Brand- og sikringsteknisk Institut</w:t>
            </w:r>
          </w:p>
          <w:p w14:paraId="236EC50F" w14:textId="149826BC" w:rsidR="00C54006" w:rsidRPr="00C54006" w:rsidRDefault="00C54006" w:rsidP="00C5400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Bygningsreglementets vejledning til kapitel 5, kapitel 5 – Brand, Bilag 12 - Præ-accepterede løsninger - Brandtekniske installationer (</w:t>
            </w:r>
            <w:hyperlink r:id="rId8" w:history="1">
              <w:r w:rsidRPr="00C5400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C54006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0"/>
  </w:num>
  <w:num w:numId="2" w16cid:durableId="1905095891">
    <w:abstractNumId w:val="5"/>
  </w:num>
  <w:num w:numId="3" w16cid:durableId="1279337117">
    <w:abstractNumId w:val="14"/>
  </w:num>
  <w:num w:numId="4" w16cid:durableId="1206793346">
    <w:abstractNumId w:val="4"/>
  </w:num>
  <w:num w:numId="5" w16cid:durableId="1598100820">
    <w:abstractNumId w:val="7"/>
  </w:num>
  <w:num w:numId="6" w16cid:durableId="987906613">
    <w:abstractNumId w:val="10"/>
  </w:num>
  <w:num w:numId="7" w16cid:durableId="1807357181">
    <w:abstractNumId w:val="12"/>
  </w:num>
  <w:num w:numId="8" w16cid:durableId="1622416050">
    <w:abstractNumId w:val="6"/>
  </w:num>
  <w:num w:numId="9" w16cid:durableId="849219066">
    <w:abstractNumId w:val="1"/>
  </w:num>
  <w:num w:numId="10" w16cid:durableId="1259174740">
    <w:abstractNumId w:val="9"/>
  </w:num>
  <w:num w:numId="11" w16cid:durableId="96491111">
    <w:abstractNumId w:val="11"/>
  </w:num>
  <w:num w:numId="12" w16cid:durableId="63994576">
    <w:abstractNumId w:val="2"/>
  </w:num>
  <w:num w:numId="13" w16cid:durableId="655955815">
    <w:abstractNumId w:val="3"/>
  </w:num>
  <w:num w:numId="14" w16cid:durableId="1678995657">
    <w:abstractNumId w:val="13"/>
  </w:num>
  <w:num w:numId="15" w16cid:durableId="276957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367A4"/>
    <w:rsid w:val="00495A46"/>
    <w:rsid w:val="005D4649"/>
    <w:rsid w:val="00692A6D"/>
    <w:rsid w:val="006F4D9D"/>
    <w:rsid w:val="00B62443"/>
    <w:rsid w:val="00B87BEF"/>
    <w:rsid w:val="00C54006"/>
    <w:rsid w:val="00D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475</Words>
  <Characters>2141</Characters>
  <Application>Microsoft Office Word</Application>
  <DocSecurity>0</DocSecurity>
  <Lines>133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5</cp:revision>
  <cp:lastPrinted>2023-02-28T12:05:00Z</cp:lastPrinted>
  <dcterms:created xsi:type="dcterms:W3CDTF">2023-02-28T10:58:00Z</dcterms:created>
  <dcterms:modified xsi:type="dcterms:W3CDTF">2023-02-28T14:20:00Z</dcterms:modified>
</cp:coreProperties>
</file>